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64" w:rsidRDefault="002D4852" w:rsidP="003A4741">
      <w:r>
        <w:rPr>
          <w:noProof/>
          <w:lang w:val="es-CL" w:eastAsia="es-CL"/>
        </w:rPr>
        <w:drawing>
          <wp:anchor distT="0" distB="0" distL="114300" distR="114300" simplePos="0" relativeHeight="251659776" behindDoc="1" locked="0" layoutInCell="0" allowOverlap="1">
            <wp:simplePos x="0" y="0"/>
            <wp:positionH relativeFrom="column">
              <wp:posOffset>4914900</wp:posOffset>
            </wp:positionH>
            <wp:positionV relativeFrom="paragraph">
              <wp:posOffset>-676275</wp:posOffset>
            </wp:positionV>
            <wp:extent cx="1485900" cy="1819275"/>
            <wp:effectExtent l="0" t="0" r="0" b="0"/>
            <wp:wrapNone/>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819275"/>
                    </a:xfrm>
                    <a:prstGeom prst="rect">
                      <a:avLst/>
                    </a:prstGeom>
                    <a:noFill/>
                  </pic:spPr>
                </pic:pic>
              </a:graphicData>
            </a:graphic>
            <wp14:sizeRelH relativeFrom="page">
              <wp14:pctWidth>0</wp14:pctWidth>
            </wp14:sizeRelH>
            <wp14:sizeRelV relativeFrom="page">
              <wp14:pctHeight>0</wp14:pctHeight>
            </wp14:sizeRelV>
          </wp:anchor>
        </w:drawing>
      </w:r>
    </w:p>
    <w:p w:rsidR="00413964" w:rsidRDefault="00413964" w:rsidP="003A4741"/>
    <w:p w:rsidR="00413964" w:rsidRDefault="00413964" w:rsidP="003A4741"/>
    <w:p w:rsidR="00413964" w:rsidRDefault="00413964" w:rsidP="003A4741"/>
    <w:p w:rsidR="00413964" w:rsidRDefault="00413964" w:rsidP="003A4741"/>
    <w:p w:rsidR="00413964" w:rsidRDefault="002D4852" w:rsidP="003A4741">
      <w:r>
        <w:rPr>
          <w:noProof/>
          <w:lang w:val="es-CL" w:eastAsia="es-CL"/>
        </w:rPr>
        <w:drawing>
          <wp:anchor distT="0" distB="0" distL="114300" distR="114300" simplePos="0" relativeHeight="251657728" behindDoc="1" locked="0" layoutInCell="0" allowOverlap="1">
            <wp:simplePos x="0" y="0"/>
            <wp:positionH relativeFrom="column">
              <wp:posOffset>228600</wp:posOffset>
            </wp:positionH>
            <wp:positionV relativeFrom="paragraph">
              <wp:posOffset>152400</wp:posOffset>
            </wp:positionV>
            <wp:extent cx="5143500" cy="3745865"/>
            <wp:effectExtent l="0" t="0" r="0" b="0"/>
            <wp:wrapNone/>
            <wp:docPr id="4" name="Imagen 4" descr="cabecer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info"/>
                    <pic:cNvPicPr>
                      <a:picLocks noChangeAspect="1" noChangeArrowheads="1"/>
                    </pic:cNvPicPr>
                  </pic:nvPicPr>
                  <pic:blipFill>
                    <a:blip r:embed="rId9">
                      <a:extLst>
                        <a:ext uri="{28A0092B-C50C-407E-A947-70E740481C1C}">
                          <a14:useLocalDpi xmlns:a14="http://schemas.microsoft.com/office/drawing/2010/main" val="0"/>
                        </a:ext>
                      </a:extLst>
                    </a:blip>
                    <a:srcRect l="15601" t="35452" r="15346"/>
                    <a:stretch>
                      <a:fillRect/>
                    </a:stretch>
                  </pic:blipFill>
                  <pic:spPr bwMode="auto">
                    <a:xfrm>
                      <a:off x="0" y="0"/>
                      <a:ext cx="5143500" cy="3745865"/>
                    </a:xfrm>
                    <a:prstGeom prst="rect">
                      <a:avLst/>
                    </a:prstGeom>
                    <a:noFill/>
                  </pic:spPr>
                </pic:pic>
              </a:graphicData>
            </a:graphic>
            <wp14:sizeRelH relativeFrom="page">
              <wp14:pctWidth>0</wp14:pctWidth>
            </wp14:sizeRelH>
            <wp14:sizeRelV relativeFrom="page">
              <wp14:pctHeight>0</wp14:pctHeight>
            </wp14:sizeRelV>
          </wp:anchor>
        </w:drawing>
      </w:r>
    </w:p>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2D4852" w:rsidP="003A4741">
      <w:r>
        <w:rPr>
          <w:noProof/>
          <w:lang w:val="es-CL" w:eastAsia="es-CL"/>
        </w:rPr>
        <mc:AlternateContent>
          <mc:Choice Requires="wps">
            <w:drawing>
              <wp:anchor distT="0" distB="0" distL="114300" distR="114300" simplePos="0" relativeHeight="251655680" behindDoc="0" locked="0" layoutInCell="0" allowOverlap="1">
                <wp:simplePos x="0" y="0"/>
                <wp:positionH relativeFrom="column">
                  <wp:posOffset>1162050</wp:posOffset>
                </wp:positionH>
                <wp:positionV relativeFrom="paragraph">
                  <wp:posOffset>162560</wp:posOffset>
                </wp:positionV>
                <wp:extent cx="325374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53A" w:rsidRPr="000C04F2" w:rsidRDefault="0018453A" w:rsidP="003A4741"/>
                          <w:p w:rsidR="00561053" w:rsidRDefault="00561053" w:rsidP="00C94A15">
                            <w:pPr>
                              <w:pStyle w:val="Ttulo5"/>
                            </w:pPr>
                          </w:p>
                          <w:p w:rsidR="0018453A" w:rsidRPr="00C94A15" w:rsidRDefault="001879C2" w:rsidP="00C94A15">
                            <w:pPr>
                              <w:pStyle w:val="Ttulo5"/>
                            </w:pPr>
                            <w:r>
                              <w:t>Licencias Maternales 2016</w:t>
                            </w:r>
                          </w:p>
                          <w:p w:rsidR="001879C2" w:rsidRDefault="001879C2" w:rsidP="001879C2"/>
                          <w:p w:rsidR="001879C2" w:rsidRPr="001879C2" w:rsidRDefault="001879C2" w:rsidP="001879C2"/>
                          <w:p w:rsidR="0018453A" w:rsidRPr="00C94A15" w:rsidRDefault="001879C2" w:rsidP="00C94A15">
                            <w:pPr>
                              <w:pStyle w:val="Ttulo5"/>
                            </w:pPr>
                            <w:r>
                              <w:t>Febrero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5pt;margin-top:12.8pt;width:256.2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3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4psdfpOJ+D00IGbGeAYuuwy1d29LL5rJOSqpmLLbpWSfc1oCexCe9O/uDri&#10;aAuy6T/JEsLQnZEOaKhUa0sHxUCADl16OnXGUingcBJNJ3MCpgJs4WQezgL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IUw8GBRS/UTox6GR4r1jx1VDKPmowD9xyGxYjVuQ6bzCDbq0rK5tFBRAFSKDUbjcmXGCbXr&#10;FN/WEGl8cULewpupuFPzmdXhpcGAcEkdhpmdQJd753UeucvfAAAA//8DAFBLAwQUAAYACAAAACEA&#10;GOnjYd4AAAAKAQAADwAAAGRycy9kb3ducmV2LnhtbEyPwU7DMBBE70j8g7VI3KjdkkRtiFMhEFcq&#10;2oLEzY23SUS8jmK3CX/P9kSPMzuafVOsJ9eJMw6h9aRhPlMgkCpvW6o17HdvD0sQIRqypvOEGn4x&#10;wLq8vSlMbv1IH3jexlpwCYXcaGhi7HMpQ9WgM2HmeyS+Hf3gTGQ51NIOZuRy18mFUpl0piX+0Jge&#10;XxqsfrYnp+Hz/fj9lahN/erSfvSTkuRWUuv7u+n5CUTEKf6H4YLP6FAy08GfyAbRsV4+8paoYZFm&#10;IDiQrdIExIGNZJ6BLAt5PaH8AwAA//8DAFBLAQItABQABgAIAAAAIQC2gziS/gAAAOEBAAATAAAA&#10;AAAAAAAAAAAAAAAAAABbQ29udGVudF9UeXBlc10ueG1sUEsBAi0AFAAGAAgAAAAhADj9If/WAAAA&#10;lAEAAAsAAAAAAAAAAAAAAAAALwEAAF9yZWxzLy5yZWxzUEsBAi0AFAAGAAgAAAAhALcweLe3AgAA&#10;ugUAAA4AAAAAAAAAAAAAAAAALgIAAGRycy9lMm9Eb2MueG1sUEsBAi0AFAAGAAgAAAAhABjp42He&#10;AAAACgEAAA8AAAAAAAAAAAAAAAAAEQUAAGRycy9kb3ducmV2LnhtbFBLBQYAAAAABAAEAPMAAAAc&#10;BgAAAAA=&#10;" o:allowincell="f" filled="f" stroked="f">
                <v:textbox>
                  <w:txbxContent>
                    <w:p w:rsidR="0018453A" w:rsidRPr="000C04F2" w:rsidRDefault="0018453A" w:rsidP="003A4741"/>
                    <w:p w:rsidR="00561053" w:rsidRDefault="00561053" w:rsidP="00C94A15">
                      <w:pPr>
                        <w:pStyle w:val="Ttulo5"/>
                      </w:pPr>
                    </w:p>
                    <w:p w:rsidR="0018453A" w:rsidRPr="00C94A15" w:rsidRDefault="001879C2" w:rsidP="00C94A15">
                      <w:pPr>
                        <w:pStyle w:val="Ttulo5"/>
                      </w:pPr>
                      <w:r>
                        <w:t>Licencias Maternales 2016</w:t>
                      </w:r>
                    </w:p>
                    <w:p w:rsidR="001879C2" w:rsidRDefault="001879C2" w:rsidP="001879C2"/>
                    <w:p w:rsidR="001879C2" w:rsidRPr="001879C2" w:rsidRDefault="001879C2" w:rsidP="001879C2"/>
                    <w:p w:rsidR="0018453A" w:rsidRPr="00C94A15" w:rsidRDefault="001879C2" w:rsidP="00C94A15">
                      <w:pPr>
                        <w:pStyle w:val="Ttulo5"/>
                      </w:pPr>
                      <w:r>
                        <w:t>Febrero 2017</w:t>
                      </w:r>
                    </w:p>
                  </w:txbxContent>
                </v:textbox>
              </v:shape>
            </w:pict>
          </mc:Fallback>
        </mc:AlternateContent>
      </w:r>
    </w:p>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413964" w:rsidRDefault="00413964" w:rsidP="003A4741"/>
    <w:p w:rsidR="00A05C31" w:rsidRDefault="006138EE" w:rsidP="007D01A6">
      <w:pPr>
        <w:pStyle w:val="Ttulo1"/>
        <w:numPr>
          <w:ilvl w:val="0"/>
          <w:numId w:val="0"/>
        </w:numPr>
      </w:pPr>
      <w:r>
        <w:br w:type="page"/>
      </w:r>
      <w:bookmarkStart w:id="0" w:name="_Toc189650164"/>
    </w:p>
    <w:p w:rsidR="00A05C31" w:rsidRDefault="00A05C31" w:rsidP="007D01A6">
      <w:pPr>
        <w:pStyle w:val="Ttulo1"/>
        <w:numPr>
          <w:ilvl w:val="0"/>
          <w:numId w:val="0"/>
        </w:numPr>
      </w:pPr>
    </w:p>
    <w:p w:rsidR="00A05C31" w:rsidRDefault="00A05C31" w:rsidP="00A05C31">
      <w:pPr>
        <w:pStyle w:val="Ttulo1"/>
      </w:pPr>
      <w:r>
        <w:t>Resumen y Conclusiones</w:t>
      </w:r>
    </w:p>
    <w:p w:rsidR="00A05C31" w:rsidRDefault="00A05C31" w:rsidP="00A05C31">
      <w:pPr>
        <w:pStyle w:val="Textoindependiente"/>
      </w:pPr>
    </w:p>
    <w:p w:rsidR="00A05C31" w:rsidRDefault="00A05C31" w:rsidP="00A05C31">
      <w:pPr>
        <w:pStyle w:val="Textoindependiente"/>
        <w:numPr>
          <w:ilvl w:val="0"/>
          <w:numId w:val="5"/>
        </w:numPr>
      </w:pPr>
      <w:r>
        <w:t xml:space="preserve">Tanto en número de licencias como los días pagados por licencias maternales disminuyeron un </w:t>
      </w:r>
      <w:r w:rsidRPr="00A05C31">
        <w:rPr>
          <w:b/>
          <w:color w:val="FF0000"/>
        </w:rPr>
        <w:t>3,6%</w:t>
      </w:r>
      <w:r>
        <w:rPr>
          <w:b/>
        </w:rPr>
        <w:t xml:space="preserve"> </w:t>
      </w:r>
      <w:r w:rsidRPr="00A05C31">
        <w:t xml:space="preserve">y un </w:t>
      </w:r>
      <w:r w:rsidRPr="00A05C31">
        <w:rPr>
          <w:b/>
          <w:color w:val="FF0000"/>
        </w:rPr>
        <w:t>3,5%</w:t>
      </w:r>
      <w:r>
        <w:t xml:space="preserve"> entre 2015 y 2016, respectivamente. </w:t>
      </w:r>
    </w:p>
    <w:p w:rsidR="00A05C31" w:rsidRDefault="00A05C31" w:rsidP="00A05C31">
      <w:pPr>
        <w:pStyle w:val="Textoindependiente"/>
        <w:ind w:left="720"/>
      </w:pPr>
    </w:p>
    <w:p w:rsidR="00A05C31" w:rsidRDefault="00A05C31" w:rsidP="00A05C31">
      <w:pPr>
        <w:pStyle w:val="Textoindependiente"/>
        <w:numPr>
          <w:ilvl w:val="0"/>
          <w:numId w:val="5"/>
        </w:numPr>
      </w:pPr>
      <w:r>
        <w:t xml:space="preserve">En tanto las licencias por enfermedad grave de un niño menor de un año disminuyeron menos que las anteriores, en </w:t>
      </w:r>
      <w:r w:rsidRPr="00A05C31">
        <w:rPr>
          <w:b/>
          <w:color w:val="FF0000"/>
        </w:rPr>
        <w:t>2,1%</w:t>
      </w:r>
      <w:r>
        <w:t xml:space="preserve">. En contraste, los días pagados por este tipo de licencias crecieron un </w:t>
      </w:r>
      <w:r w:rsidRPr="00A05C31">
        <w:rPr>
          <w:b/>
        </w:rPr>
        <w:t>4,5%</w:t>
      </w:r>
      <w:r>
        <w:t xml:space="preserve">, lo que se explica por una extensión en la duración de las licencias, las que pasaron de </w:t>
      </w:r>
      <w:r w:rsidRPr="00A05C31">
        <w:rPr>
          <w:b/>
        </w:rPr>
        <w:t>12</w:t>
      </w:r>
      <w:r>
        <w:t xml:space="preserve"> a </w:t>
      </w:r>
      <w:r w:rsidRPr="00A05C31">
        <w:rPr>
          <w:b/>
        </w:rPr>
        <w:t>12,9</w:t>
      </w:r>
      <w:r>
        <w:t xml:space="preserve"> días por licencia entre 2015 y 2016, lo que representa un incremento de </w:t>
      </w:r>
      <w:r w:rsidRPr="00A05C31">
        <w:rPr>
          <w:b/>
        </w:rPr>
        <w:t>7,1%</w:t>
      </w:r>
      <w:r>
        <w:t>.</w:t>
      </w:r>
    </w:p>
    <w:p w:rsidR="00A05C31" w:rsidRDefault="00A05C31" w:rsidP="00A05C31">
      <w:pPr>
        <w:pStyle w:val="Textoindependiente"/>
        <w:ind w:left="720"/>
      </w:pPr>
    </w:p>
    <w:p w:rsidR="00A05C31" w:rsidRDefault="00A05C31" w:rsidP="00A05C31">
      <w:pPr>
        <w:pStyle w:val="Textoindependiente"/>
        <w:numPr>
          <w:ilvl w:val="0"/>
          <w:numId w:val="5"/>
        </w:numPr>
      </w:pPr>
      <w:r>
        <w:t xml:space="preserve">El gasto en licencias maternales se incrementó un </w:t>
      </w:r>
      <w:r w:rsidRPr="00A05C31">
        <w:rPr>
          <w:b/>
        </w:rPr>
        <w:t>3,2%</w:t>
      </w:r>
      <w:r>
        <w:t xml:space="preserve"> entre 2015 y 2016, mientras que las licencias por enfermedad grave de un hijo menor de un año lo hicieron en un </w:t>
      </w:r>
      <w:r w:rsidRPr="00A05C31">
        <w:rPr>
          <w:b/>
        </w:rPr>
        <w:t>13%</w:t>
      </w:r>
      <w:r>
        <w:t>.</w:t>
      </w:r>
    </w:p>
    <w:p w:rsidR="00A05C31" w:rsidRDefault="00A05C31" w:rsidP="00A05C31">
      <w:pPr>
        <w:pStyle w:val="Prrafodelista"/>
      </w:pPr>
    </w:p>
    <w:p w:rsidR="00A05C31" w:rsidRDefault="00A05C31" w:rsidP="00A05C31">
      <w:pPr>
        <w:pStyle w:val="Textoindependiente"/>
        <w:numPr>
          <w:ilvl w:val="0"/>
          <w:numId w:val="5"/>
        </w:numPr>
      </w:pPr>
      <w:r>
        <w:t xml:space="preserve">Como corolario podemos indicar que el número de días pagados de licencias por enfermedad grave de hijo menor de un año por cada madre protegida por la seguridad social se incrementó un </w:t>
      </w:r>
      <w:r w:rsidRPr="00A05C31">
        <w:rPr>
          <w:b/>
        </w:rPr>
        <w:t>9,5%</w:t>
      </w:r>
      <w:r>
        <w:t xml:space="preserve">, pasando de </w:t>
      </w:r>
      <w:r w:rsidRPr="00A05C31">
        <w:rPr>
          <w:b/>
        </w:rPr>
        <w:t>20</w:t>
      </w:r>
      <w:r>
        <w:t xml:space="preserve"> a </w:t>
      </w:r>
      <w:r w:rsidRPr="00A05C31">
        <w:rPr>
          <w:b/>
        </w:rPr>
        <w:t>22</w:t>
      </w:r>
      <w:r>
        <w:t xml:space="preserve"> por parto.</w:t>
      </w:r>
    </w:p>
    <w:p w:rsidR="00A05C31" w:rsidRDefault="00A05C31" w:rsidP="007D01A6">
      <w:pPr>
        <w:pStyle w:val="Ttulo1"/>
        <w:numPr>
          <w:ilvl w:val="0"/>
          <w:numId w:val="0"/>
        </w:numPr>
      </w:pPr>
    </w:p>
    <w:p w:rsidR="00826F72" w:rsidRPr="00826F72" w:rsidRDefault="00826F72" w:rsidP="00826F72">
      <w:pPr>
        <w:jc w:val="center"/>
      </w:pPr>
      <w:r w:rsidRPr="00FD2B23">
        <w:rPr>
          <w:noProof/>
          <w:lang w:val="es-CL" w:eastAsia="es-CL"/>
        </w:rPr>
        <w:drawing>
          <wp:inline distT="0" distB="0" distL="0" distR="0" wp14:anchorId="57C572E8" wp14:editId="4CD61BAD">
            <wp:extent cx="4708353" cy="22331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465" cy="2243180"/>
                    </a:xfrm>
                    <a:prstGeom prst="rect">
                      <a:avLst/>
                    </a:prstGeom>
                    <a:noFill/>
                    <a:ln>
                      <a:noFill/>
                    </a:ln>
                  </pic:spPr>
                </pic:pic>
              </a:graphicData>
            </a:graphic>
          </wp:inline>
        </w:drawing>
      </w:r>
    </w:p>
    <w:p w:rsidR="00A05C31" w:rsidRDefault="00A05C31" w:rsidP="007D01A6">
      <w:pPr>
        <w:pStyle w:val="Ttulo1"/>
        <w:numPr>
          <w:ilvl w:val="0"/>
          <w:numId w:val="0"/>
        </w:numPr>
      </w:pPr>
    </w:p>
    <w:p w:rsidR="00A05C31" w:rsidRDefault="00A05C31" w:rsidP="007D01A6">
      <w:pPr>
        <w:pStyle w:val="Ttulo1"/>
        <w:numPr>
          <w:ilvl w:val="0"/>
          <w:numId w:val="0"/>
        </w:numPr>
      </w:pPr>
    </w:p>
    <w:p w:rsidR="00826F72" w:rsidRDefault="00826F72">
      <w:pPr>
        <w:jc w:val="left"/>
        <w:rPr>
          <w:b/>
          <w:color w:val="808080"/>
        </w:rPr>
      </w:pPr>
      <w:r>
        <w:br w:type="page"/>
      </w:r>
    </w:p>
    <w:p w:rsidR="00413964" w:rsidRPr="00AE4E26" w:rsidRDefault="00E25EF3" w:rsidP="00AE4E26">
      <w:pPr>
        <w:pStyle w:val="Ttulo1"/>
      </w:pPr>
      <w:r w:rsidRPr="00AE4E26">
        <w:lastRenderedPageBreak/>
        <w:t>I</w:t>
      </w:r>
      <w:bookmarkEnd w:id="0"/>
      <w:r w:rsidR="00EA3C6F" w:rsidRPr="00AE4E26">
        <w:t>ntroducción</w:t>
      </w:r>
    </w:p>
    <w:p w:rsidR="006138EE" w:rsidRDefault="006138EE" w:rsidP="003A4741"/>
    <w:p w:rsidR="00675B79" w:rsidRDefault="003E3094" w:rsidP="003A4741">
      <w:r>
        <w:t>De acuerdo a información entregada en días pasados por la Superintendencia de Seguridad Social, las licencias por enfermedad grave del niño menor de un año habrían disminuido en un 2,1% en 2016, lo que habría roto la tendencia alcista experimentada por este indicador en los últimos años. Lo anterior, sería producto de la mayor fiscalización de las autoridades y mejor coordinación entre las entidades pagadoras de este beneficio.</w:t>
      </w:r>
    </w:p>
    <w:p w:rsidR="00675B79" w:rsidRDefault="00675B79" w:rsidP="003A4741"/>
    <w:p w:rsidR="00675B79" w:rsidRDefault="003E3094" w:rsidP="003A4741">
      <w:r>
        <w:t>La misma nota indica que el número de licencias por descanso maternal habrían disminuido en el mismo período en un 3%, es decir en mayor proporción que las licencias por enfermedad grave del hijo menor de un año. Lo anterior es un indicio de que las licencias por enfermedad grave de hijo menor de un año en vez de disminuir habrían aumentado</w:t>
      </w:r>
      <w:r w:rsidR="004C48DC">
        <w:t xml:space="preserve"> en proporción al número de madres protegidas por la seguridad social.</w:t>
      </w:r>
    </w:p>
    <w:p w:rsidR="00675B79" w:rsidRDefault="00675B79" w:rsidP="003A4741"/>
    <w:p w:rsidR="00675B79" w:rsidRPr="00675B79" w:rsidRDefault="004C48DC" w:rsidP="003A4741">
      <w:r>
        <w:t>Por este motivo, Altura Management decidió actualizar las estadísticas de las licencias de descanso maternal y por enfermedad grave de hijo menor de un año, y determinar la variación efectiva de este tipo de subsidios.</w:t>
      </w:r>
    </w:p>
    <w:p w:rsidR="00337176" w:rsidRDefault="00337176" w:rsidP="003A4741"/>
    <w:p w:rsidR="00337176" w:rsidRDefault="00337176" w:rsidP="003A4741"/>
    <w:p w:rsidR="00B81321" w:rsidRPr="000706C7" w:rsidRDefault="00F3518E" w:rsidP="003A4741">
      <w:pPr>
        <w:pStyle w:val="Ttulo1"/>
      </w:pPr>
      <w:r w:rsidRPr="000706C7">
        <w:t xml:space="preserve">Evolución del </w:t>
      </w:r>
      <w:r w:rsidR="007006B6">
        <w:t xml:space="preserve">Número de Licencias de Maternales y </w:t>
      </w:r>
      <w:r w:rsidR="00043BAC">
        <w:t xml:space="preserve">Enfermedad Grave </w:t>
      </w:r>
      <w:r w:rsidR="007006B6">
        <w:t>de</w:t>
      </w:r>
      <w:r w:rsidR="00043BAC">
        <w:t>l</w:t>
      </w:r>
      <w:r w:rsidR="007006B6">
        <w:t xml:space="preserve"> hijo menor de 1 año</w:t>
      </w:r>
    </w:p>
    <w:p w:rsidR="00337176" w:rsidRDefault="00337176" w:rsidP="003A4741"/>
    <w:p w:rsidR="00826F72" w:rsidRDefault="00826F72" w:rsidP="003A4741"/>
    <w:p w:rsidR="00F00F9D" w:rsidRDefault="00337176" w:rsidP="00043BAC">
      <w:r w:rsidRPr="00187134">
        <w:t>E</w:t>
      </w:r>
      <w:r w:rsidR="00043BAC">
        <w:t>ntre 2015 y 2016 el número de licencias maternales disminuyó un 3,6% promedio, destacando la disminución de los permisos postnatales parentales (extendido) de 4,2%</w:t>
      </w:r>
      <w:r w:rsidR="00F00F9D" w:rsidRPr="00187134">
        <w:t>.</w:t>
      </w:r>
      <w:r w:rsidR="00043BAC">
        <w:t xml:space="preserve"> El número de licencias por enfermedad grave del hijo también disminuyó en un 2.1%, es decir la mitad que las licencias postnatales parentales.</w:t>
      </w:r>
    </w:p>
    <w:p w:rsidR="00185254" w:rsidRPr="00187134" w:rsidRDefault="00185254" w:rsidP="003A4741"/>
    <w:p w:rsidR="00F00F9D" w:rsidRPr="00187134" w:rsidRDefault="00043BAC" w:rsidP="006403B7">
      <w:pPr>
        <w:jc w:val="center"/>
      </w:pPr>
      <w:r w:rsidRPr="00043BAC">
        <w:rPr>
          <w:noProof/>
          <w:lang w:val="es-CL" w:eastAsia="es-CL"/>
        </w:rPr>
        <w:drawing>
          <wp:inline distT="0" distB="0" distL="0" distR="0">
            <wp:extent cx="5613400" cy="15049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1504950"/>
                    </a:xfrm>
                    <a:prstGeom prst="rect">
                      <a:avLst/>
                    </a:prstGeom>
                    <a:noFill/>
                    <a:ln>
                      <a:noFill/>
                    </a:ln>
                  </pic:spPr>
                </pic:pic>
              </a:graphicData>
            </a:graphic>
          </wp:inline>
        </w:drawing>
      </w:r>
    </w:p>
    <w:p w:rsidR="007D01A6" w:rsidRDefault="007D01A6" w:rsidP="003A4741"/>
    <w:p w:rsidR="00AE4E26" w:rsidRDefault="00AE4E26" w:rsidP="003A4741"/>
    <w:p w:rsidR="00826F72" w:rsidRDefault="00826F72">
      <w:pPr>
        <w:jc w:val="left"/>
        <w:rPr>
          <w:b/>
          <w:color w:val="808080"/>
        </w:rPr>
      </w:pPr>
      <w:r>
        <w:br w:type="page"/>
      </w:r>
    </w:p>
    <w:p w:rsidR="00F62E76" w:rsidRPr="00F62E76" w:rsidRDefault="00F62E76" w:rsidP="003A4741">
      <w:pPr>
        <w:pStyle w:val="Ttulo1"/>
      </w:pPr>
      <w:r w:rsidRPr="00F62E76">
        <w:lastRenderedPageBreak/>
        <w:t xml:space="preserve">Evolución del </w:t>
      </w:r>
      <w:r w:rsidR="00043BAC">
        <w:t xml:space="preserve">Número de Días Licencias Maternales y de </w:t>
      </w:r>
      <w:r w:rsidR="00A842D5">
        <w:t>E</w:t>
      </w:r>
      <w:r w:rsidR="006A691B">
        <w:t>n</w:t>
      </w:r>
      <w:r w:rsidR="00A842D5">
        <w:t>f</w:t>
      </w:r>
      <w:r w:rsidR="006A691B">
        <w:t>ermedad Grave del hijo menor de 1 año</w:t>
      </w:r>
    </w:p>
    <w:p w:rsidR="00B81321" w:rsidRDefault="00B81321" w:rsidP="003A4741"/>
    <w:p w:rsidR="002A49C4" w:rsidRDefault="00932110" w:rsidP="006A691B">
      <w:r>
        <w:t>E</w:t>
      </w:r>
      <w:r w:rsidR="006A691B">
        <w:t>l número de días asociados a licencias maternales disminuyó un 3,5% entre 2015 y 2016, desde 21.232.834 a 20.499.788, cifra alineada con la evolución del número de licencias de este tipo</w:t>
      </w:r>
      <w:r w:rsidR="00290CB3">
        <w:t>.</w:t>
      </w:r>
      <w:r w:rsidR="006A691B">
        <w:t xml:space="preserve"> En contraste, con los días licencia asociados licencias por enfermedad grave del hijo menor de 1 año se incrementaron en 4,8%, pasando desde 1.629.060 a 1.707.059. Lo anterior, en dirección contraria a lo experimentado con el número de licencias de este tipo.</w:t>
      </w:r>
    </w:p>
    <w:p w:rsidR="00826F72" w:rsidRDefault="00826F72" w:rsidP="006A691B"/>
    <w:p w:rsidR="006A691B" w:rsidRPr="00091C2A" w:rsidRDefault="00B74661" w:rsidP="00B74661">
      <w:pPr>
        <w:jc w:val="center"/>
      </w:pPr>
      <w:r w:rsidRPr="00B74661">
        <w:rPr>
          <w:noProof/>
          <w:lang w:val="es-CL" w:eastAsia="es-CL"/>
        </w:rPr>
        <w:drawing>
          <wp:inline distT="0" distB="0" distL="0" distR="0">
            <wp:extent cx="5613400" cy="148590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485900"/>
                    </a:xfrm>
                    <a:prstGeom prst="rect">
                      <a:avLst/>
                    </a:prstGeom>
                    <a:noFill/>
                    <a:ln>
                      <a:noFill/>
                    </a:ln>
                  </pic:spPr>
                </pic:pic>
              </a:graphicData>
            </a:graphic>
          </wp:inline>
        </w:drawing>
      </w:r>
    </w:p>
    <w:p w:rsidR="00290CB3" w:rsidRDefault="00290CB3" w:rsidP="003A4741"/>
    <w:p w:rsidR="00A842D5" w:rsidRDefault="00A842D5" w:rsidP="003A4741">
      <w:r>
        <w:t>Este incremento en los días por licencias por enfermedad grave del hijo menor de un año cuando el número de licencias disminuye se explica por un incremento en la duración promedio de las mismas, las que pasaron de 12 días por licencia en 2015 a 12,9 en 2016, con un incremento de 7,1%.</w:t>
      </w:r>
    </w:p>
    <w:p w:rsidR="004D5E0F" w:rsidRDefault="004D5E0F">
      <w:pPr>
        <w:jc w:val="left"/>
        <w:rPr>
          <w:b/>
          <w:color w:val="808080"/>
        </w:rPr>
      </w:pPr>
    </w:p>
    <w:p w:rsidR="00826F72" w:rsidRDefault="00826F72">
      <w:pPr>
        <w:jc w:val="left"/>
        <w:rPr>
          <w:b/>
          <w:color w:val="808080"/>
        </w:rPr>
      </w:pPr>
    </w:p>
    <w:p w:rsidR="000A108B" w:rsidRDefault="00544A9F" w:rsidP="0015711E">
      <w:pPr>
        <w:pStyle w:val="Ttulo1"/>
      </w:pPr>
      <w:r>
        <w:t>Evolución del Gasto en Licencias Maternales</w:t>
      </w:r>
      <w:r w:rsidR="00914371">
        <w:t xml:space="preserve"> y por Enfermedad Grave del hijo menor de 1 año</w:t>
      </w:r>
    </w:p>
    <w:p w:rsidR="00336AFB" w:rsidRPr="00336AFB" w:rsidRDefault="00336AFB" w:rsidP="003A4741"/>
    <w:p w:rsidR="007D01A6" w:rsidRDefault="00732DA4" w:rsidP="00914371">
      <w:pPr>
        <w:pStyle w:val="Textoindependiente"/>
      </w:pPr>
      <w:r>
        <w:t>E</w:t>
      </w:r>
      <w:r w:rsidR="00914371">
        <w:t xml:space="preserve">ste cambio en el número de días pagados por licencias por enfermedad grave de hijo menor de un año se expresa en un mayor gasto. Las licencias maternales se incrementaron entre 2015 y 2016, en moneda de igual valor, en un </w:t>
      </w:r>
      <w:r w:rsidR="00D33EFE">
        <w:t>3,2%, mientras que las por enfermedad grave del hijo menor de 1 año lo hicieron en igual período en un 13,0%.</w:t>
      </w:r>
    </w:p>
    <w:p w:rsidR="000005BE" w:rsidRDefault="000005BE" w:rsidP="003A4741">
      <w:pPr>
        <w:pStyle w:val="Textoindependiente"/>
      </w:pPr>
    </w:p>
    <w:p w:rsidR="000005BE" w:rsidRDefault="00D33EFE" w:rsidP="000005BE">
      <w:pPr>
        <w:pStyle w:val="Textoindependiente"/>
        <w:jc w:val="center"/>
      </w:pPr>
      <w:r w:rsidRPr="00D33EFE">
        <w:rPr>
          <w:noProof/>
          <w:lang w:val="es-CL" w:eastAsia="es-CL"/>
        </w:rPr>
        <w:lastRenderedPageBreak/>
        <w:drawing>
          <wp:inline distT="0" distB="0" distL="0" distR="0">
            <wp:extent cx="4656674" cy="506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846" cy="5071840"/>
                    </a:xfrm>
                    <a:prstGeom prst="rect">
                      <a:avLst/>
                    </a:prstGeom>
                    <a:noFill/>
                    <a:ln>
                      <a:noFill/>
                    </a:ln>
                  </pic:spPr>
                </pic:pic>
              </a:graphicData>
            </a:graphic>
          </wp:inline>
        </w:drawing>
      </w:r>
    </w:p>
    <w:p w:rsidR="00832A07" w:rsidRDefault="00832A07" w:rsidP="003A4741">
      <w:pPr>
        <w:pStyle w:val="Textoindependiente"/>
      </w:pPr>
    </w:p>
    <w:p w:rsidR="00832A07" w:rsidRDefault="000005BE" w:rsidP="003A4741">
      <w:pPr>
        <w:pStyle w:val="Textoindependiente"/>
      </w:pPr>
      <w:r>
        <w:t>Como se puede ver</w:t>
      </w:r>
      <w:r w:rsidR="00D33EFE">
        <w:t>, el gasto en licencias por enfermedad grave por hijo menor de un año ya casi duplicó el gasto de 2012</w:t>
      </w:r>
      <w:r>
        <w:t xml:space="preserve">, </w:t>
      </w:r>
      <w:r w:rsidR="00D33EFE">
        <w:t xml:space="preserve">año en que se incrementó el período de descanso postnatal </w:t>
      </w:r>
      <w:r w:rsidR="00ED1E1E">
        <w:t>de 84 a 180 días.</w:t>
      </w:r>
    </w:p>
    <w:p w:rsidR="00832A07" w:rsidRDefault="00FD2B23" w:rsidP="00FD2B23">
      <w:pPr>
        <w:pStyle w:val="Textoindependiente"/>
        <w:jc w:val="center"/>
      </w:pPr>
      <w:r w:rsidRPr="00FD2B23">
        <w:rPr>
          <w:noProof/>
          <w:lang w:val="es-CL" w:eastAsia="es-CL"/>
        </w:rPr>
        <w:lastRenderedPageBreak/>
        <w:drawing>
          <wp:inline distT="0" distB="0" distL="0" distR="0">
            <wp:extent cx="5050021" cy="2395220"/>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370" cy="2396809"/>
                    </a:xfrm>
                    <a:prstGeom prst="rect">
                      <a:avLst/>
                    </a:prstGeom>
                    <a:noFill/>
                    <a:ln>
                      <a:noFill/>
                    </a:ln>
                  </pic:spPr>
                </pic:pic>
              </a:graphicData>
            </a:graphic>
          </wp:inline>
        </w:drawing>
      </w:r>
    </w:p>
    <w:p w:rsidR="00FD2B23" w:rsidRDefault="00FD2B23" w:rsidP="003A4741">
      <w:pPr>
        <w:pStyle w:val="Textoindependiente"/>
      </w:pPr>
    </w:p>
    <w:p w:rsidR="007D01A6" w:rsidRDefault="007D01A6" w:rsidP="003A4741">
      <w:pPr>
        <w:pStyle w:val="Textoindependiente"/>
      </w:pPr>
    </w:p>
    <w:p w:rsidR="005909AA" w:rsidRDefault="00D33EFE" w:rsidP="00905410">
      <w:pPr>
        <w:pStyle w:val="Ttulo1"/>
      </w:pPr>
      <w:r>
        <w:t>Promedio de Días de Reposo asociados a Enfermedad por hijo menor de un año</w:t>
      </w:r>
    </w:p>
    <w:p w:rsidR="00832A07" w:rsidRDefault="00832A07" w:rsidP="003A4741">
      <w:pPr>
        <w:pStyle w:val="Textoindependiente"/>
      </w:pPr>
    </w:p>
    <w:p w:rsidR="00D33EFE" w:rsidRDefault="00D33EFE" w:rsidP="003A4741">
      <w:pPr>
        <w:pStyle w:val="Textoindependiente"/>
      </w:pPr>
      <w:r>
        <w:t>Lejos de disminuir, el número de días licencia por enfermedad grave de un hijo menor de un año por cada madre protegida por la seguridad social, sigue incrementándose, pasado de 20 a 22 días, entre 2015 y 2016.</w:t>
      </w:r>
    </w:p>
    <w:p w:rsidR="00FD4B7D" w:rsidRDefault="00FD4B7D" w:rsidP="00D33EFE">
      <w:pPr>
        <w:pStyle w:val="Textoindependiente"/>
        <w:jc w:val="center"/>
      </w:pPr>
    </w:p>
    <w:p w:rsidR="00FD2B23" w:rsidRDefault="00FD2B23" w:rsidP="00FD2B23">
      <w:pPr>
        <w:pStyle w:val="Textoindependiente"/>
        <w:jc w:val="center"/>
      </w:pPr>
      <w:r w:rsidRPr="00FD2B23">
        <w:rPr>
          <w:noProof/>
          <w:lang w:val="es-CL" w:eastAsia="es-CL"/>
        </w:rPr>
        <w:drawing>
          <wp:inline distT="0" distB="0" distL="0" distR="0" wp14:anchorId="3F5B7FF2" wp14:editId="34484194">
            <wp:extent cx="5391420" cy="255714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570" cy="2559588"/>
                    </a:xfrm>
                    <a:prstGeom prst="rect">
                      <a:avLst/>
                    </a:prstGeom>
                    <a:noFill/>
                    <a:ln>
                      <a:noFill/>
                    </a:ln>
                  </pic:spPr>
                </pic:pic>
              </a:graphicData>
            </a:graphic>
          </wp:inline>
        </w:drawing>
      </w:r>
    </w:p>
    <w:p w:rsidR="00FD2B23" w:rsidRDefault="00FD2B23" w:rsidP="00FD2B23">
      <w:pPr>
        <w:pStyle w:val="Textoindependiente"/>
        <w:jc w:val="center"/>
      </w:pPr>
    </w:p>
    <w:p w:rsidR="00FD4B7D" w:rsidRDefault="00FD4B7D" w:rsidP="00FD2B23">
      <w:pPr>
        <w:pStyle w:val="Textoindependiente"/>
      </w:pPr>
    </w:p>
    <w:p w:rsidR="00FD2B23" w:rsidRDefault="00FD2B23" w:rsidP="00FD2B23">
      <w:pPr>
        <w:pStyle w:val="Textoindependiente"/>
      </w:pPr>
      <w:bookmarkStart w:id="1" w:name="_GoBack"/>
      <w:bookmarkEnd w:id="1"/>
    </w:p>
    <w:sectPr w:rsidR="00FD2B23">
      <w:headerReference w:type="default" r:id="rId15"/>
      <w:footerReference w:type="default" r:id="rId16"/>
      <w:pgSz w:w="12242" w:h="15842" w:code="1"/>
      <w:pgMar w:top="1616" w:right="170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0E" w:rsidRDefault="00CA0F0E" w:rsidP="003A4741">
      <w:r>
        <w:separator/>
      </w:r>
    </w:p>
  </w:endnote>
  <w:endnote w:type="continuationSeparator" w:id="0">
    <w:p w:rsidR="00CA0F0E" w:rsidRDefault="00CA0F0E" w:rsidP="003A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i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3A" w:rsidRDefault="0018453A" w:rsidP="003A4741">
    <w:pPr>
      <w:pStyle w:val="Piedepgina"/>
    </w:pPr>
    <w:r>
      <w:rPr>
        <w:noProof/>
        <w:lang w:val="es-CL" w:eastAsia="es-CL"/>
      </w:rPr>
      <w:drawing>
        <wp:inline distT="0" distB="0" distL="0" distR="0" wp14:anchorId="1B3B846D" wp14:editId="5553FF9F">
          <wp:extent cx="5400675" cy="19050"/>
          <wp:effectExtent l="0" t="0" r="0" b="0"/>
          <wp:docPr id="1" name="Imagen 1" descr="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9050"/>
                  </a:xfrm>
                  <a:prstGeom prst="rect">
                    <a:avLst/>
                  </a:prstGeom>
                  <a:noFill/>
                  <a:ln>
                    <a:noFill/>
                  </a:ln>
                </pic:spPr>
              </pic:pic>
            </a:graphicData>
          </a:graphic>
        </wp:inline>
      </w:drawing>
    </w:r>
  </w:p>
  <w:p w:rsidR="0018453A" w:rsidRPr="007D01A6" w:rsidRDefault="0018453A" w:rsidP="00C94A15">
    <w:pPr>
      <w:pStyle w:val="Piedepgina"/>
      <w:jc w:val="center"/>
      <w:rPr>
        <w:color w:val="002060"/>
        <w:sz w:val="16"/>
        <w:szCs w:val="16"/>
      </w:rPr>
    </w:pPr>
    <w:r>
      <w:rPr>
        <w:rFonts w:ascii="Avian" w:hAnsi="Avian"/>
        <w:color w:val="008080"/>
        <w:sz w:val="16"/>
      </w:rPr>
      <w:br/>
    </w:r>
    <w:r w:rsidRPr="007D01A6">
      <w:rPr>
        <w:color w:val="002060"/>
        <w:sz w:val="16"/>
        <w:szCs w:val="16"/>
      </w:rPr>
      <w:t>Fono/ Fax: (56) (2) 343 25 81, Jorge Matte Gorm</w:t>
    </w:r>
    <w:r w:rsidR="007D01A6" w:rsidRPr="007D01A6">
      <w:rPr>
        <w:color w:val="002060"/>
        <w:sz w:val="16"/>
        <w:szCs w:val="16"/>
      </w:rPr>
      <w:t>a</w:t>
    </w:r>
    <w:r w:rsidRPr="007D01A6">
      <w:rPr>
        <w:color w:val="002060"/>
        <w:sz w:val="16"/>
        <w:szCs w:val="16"/>
      </w:rPr>
      <w:t>z 2226, Providencia, Santiago – Chile</w:t>
    </w:r>
  </w:p>
  <w:p w:rsidR="0018453A" w:rsidRPr="007D01A6" w:rsidRDefault="0018453A" w:rsidP="00C94A15">
    <w:pPr>
      <w:pStyle w:val="Piedepgina"/>
      <w:jc w:val="center"/>
      <w:rPr>
        <w:b/>
        <w:color w:val="002060"/>
        <w:sz w:val="16"/>
        <w:szCs w:val="16"/>
      </w:rPr>
    </w:pPr>
    <w:r w:rsidRPr="007D01A6">
      <w:rPr>
        <w:color w:val="002060"/>
        <w:sz w:val="16"/>
        <w:szCs w:val="16"/>
      </w:rPr>
      <w:t xml:space="preserve">altura@alturamanagement.cl – </w:t>
    </w:r>
    <w:r w:rsidRPr="007D01A6">
      <w:rPr>
        <w:b/>
        <w:color w:val="002060"/>
        <w:sz w:val="16"/>
        <w:szCs w:val="16"/>
      </w:rPr>
      <w:t>www.alturamanagement.cl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0E" w:rsidRDefault="00CA0F0E" w:rsidP="003A4741">
      <w:r>
        <w:separator/>
      </w:r>
    </w:p>
  </w:footnote>
  <w:footnote w:type="continuationSeparator" w:id="0">
    <w:p w:rsidR="00CA0F0E" w:rsidRDefault="00CA0F0E" w:rsidP="003A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901273"/>
      <w:docPartObj>
        <w:docPartGallery w:val="Page Numbers (Top of Page)"/>
        <w:docPartUnique/>
      </w:docPartObj>
    </w:sdtPr>
    <w:sdtEndPr/>
    <w:sdtContent>
      <w:p w:rsidR="00B842D0" w:rsidRDefault="00B842D0">
        <w:pPr>
          <w:pStyle w:val="Encabezado"/>
          <w:jc w:val="right"/>
        </w:pPr>
        <w:r>
          <w:fldChar w:fldCharType="begin"/>
        </w:r>
        <w:r>
          <w:instrText>PAGE   \* MERGEFORMAT</w:instrText>
        </w:r>
        <w:r>
          <w:fldChar w:fldCharType="separate"/>
        </w:r>
        <w:r w:rsidR="00826F72">
          <w:rPr>
            <w:noProof/>
          </w:rPr>
          <w:t>6</w:t>
        </w:r>
        <w:r>
          <w:fldChar w:fldCharType="end"/>
        </w:r>
      </w:p>
    </w:sdtContent>
  </w:sdt>
  <w:p w:rsidR="00B842D0" w:rsidRDefault="00B842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7A9"/>
    <w:multiLevelType w:val="singleLevel"/>
    <w:tmpl w:val="06FC5782"/>
    <w:lvl w:ilvl="0">
      <w:start w:val="1"/>
      <w:numFmt w:val="decimal"/>
      <w:pStyle w:val="k1"/>
      <w:lvlText w:val="%1."/>
      <w:lvlJc w:val="left"/>
      <w:pPr>
        <w:tabs>
          <w:tab w:val="num" w:pos="360"/>
        </w:tabs>
        <w:ind w:left="360" w:hanging="360"/>
      </w:pPr>
    </w:lvl>
  </w:abstractNum>
  <w:abstractNum w:abstractNumId="1" w15:restartNumberingAfterBreak="0">
    <w:nsid w:val="63335668"/>
    <w:multiLevelType w:val="singleLevel"/>
    <w:tmpl w:val="04A0B1BA"/>
    <w:lvl w:ilvl="0">
      <w:start w:val="1"/>
      <w:numFmt w:val="decimal"/>
      <w:pStyle w:val="Ttulo2"/>
      <w:lvlText w:val="3.%1."/>
      <w:lvlJc w:val="left"/>
      <w:pPr>
        <w:tabs>
          <w:tab w:val="num" w:pos="72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768E6F4D"/>
    <w:multiLevelType w:val="multilevel"/>
    <w:tmpl w:val="B28E81C2"/>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7DFB5FBE"/>
    <w:multiLevelType w:val="hybridMultilevel"/>
    <w:tmpl w:val="6B4A779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86"/>
    <w:rsid w:val="000005BE"/>
    <w:rsid w:val="00000E0F"/>
    <w:rsid w:val="0000126A"/>
    <w:rsid w:val="0000231E"/>
    <w:rsid w:val="000039CE"/>
    <w:rsid w:val="000123F0"/>
    <w:rsid w:val="0001467F"/>
    <w:rsid w:val="00015078"/>
    <w:rsid w:val="0002437C"/>
    <w:rsid w:val="000261FB"/>
    <w:rsid w:val="00043BAC"/>
    <w:rsid w:val="00044C1E"/>
    <w:rsid w:val="000542D1"/>
    <w:rsid w:val="000670C3"/>
    <w:rsid w:val="000706C7"/>
    <w:rsid w:val="00070C63"/>
    <w:rsid w:val="00071610"/>
    <w:rsid w:val="000722AC"/>
    <w:rsid w:val="00085488"/>
    <w:rsid w:val="00091C2A"/>
    <w:rsid w:val="00092EAA"/>
    <w:rsid w:val="000A108B"/>
    <w:rsid w:val="000A429B"/>
    <w:rsid w:val="000B1E74"/>
    <w:rsid w:val="000C04F2"/>
    <w:rsid w:val="000C47A4"/>
    <w:rsid w:val="000D358E"/>
    <w:rsid w:val="000D3782"/>
    <w:rsid w:val="000E1944"/>
    <w:rsid w:val="0010063A"/>
    <w:rsid w:val="001025CC"/>
    <w:rsid w:val="001104EB"/>
    <w:rsid w:val="0011790F"/>
    <w:rsid w:val="00125C81"/>
    <w:rsid w:val="00140C4B"/>
    <w:rsid w:val="001410BA"/>
    <w:rsid w:val="001477CA"/>
    <w:rsid w:val="0015711E"/>
    <w:rsid w:val="00161161"/>
    <w:rsid w:val="001619EF"/>
    <w:rsid w:val="00162A77"/>
    <w:rsid w:val="0016381F"/>
    <w:rsid w:val="001727A1"/>
    <w:rsid w:val="0017589B"/>
    <w:rsid w:val="00177C06"/>
    <w:rsid w:val="00180D77"/>
    <w:rsid w:val="0018453A"/>
    <w:rsid w:val="00184B78"/>
    <w:rsid w:val="00185254"/>
    <w:rsid w:val="00187134"/>
    <w:rsid w:val="001879C2"/>
    <w:rsid w:val="00191F5D"/>
    <w:rsid w:val="001A096B"/>
    <w:rsid w:val="001A7F92"/>
    <w:rsid w:val="001B1C0E"/>
    <w:rsid w:val="001C3F81"/>
    <w:rsid w:val="001D12D0"/>
    <w:rsid w:val="001D4191"/>
    <w:rsid w:val="001E0417"/>
    <w:rsid w:val="001E1620"/>
    <w:rsid w:val="001E3901"/>
    <w:rsid w:val="001F1393"/>
    <w:rsid w:val="0020477C"/>
    <w:rsid w:val="0020679B"/>
    <w:rsid w:val="00206E72"/>
    <w:rsid w:val="0021204C"/>
    <w:rsid w:val="00214C8D"/>
    <w:rsid w:val="00215062"/>
    <w:rsid w:val="002163AD"/>
    <w:rsid w:val="00217114"/>
    <w:rsid w:val="00217FD1"/>
    <w:rsid w:val="00230017"/>
    <w:rsid w:val="0023509B"/>
    <w:rsid w:val="0024115B"/>
    <w:rsid w:val="00262A85"/>
    <w:rsid w:val="00264DAE"/>
    <w:rsid w:val="002700D7"/>
    <w:rsid w:val="00273EA2"/>
    <w:rsid w:val="00290CB3"/>
    <w:rsid w:val="00296319"/>
    <w:rsid w:val="002A1A2A"/>
    <w:rsid w:val="002A1C6C"/>
    <w:rsid w:val="002A49C4"/>
    <w:rsid w:val="002D184B"/>
    <w:rsid w:val="002D3282"/>
    <w:rsid w:val="002D4852"/>
    <w:rsid w:val="002F1531"/>
    <w:rsid w:val="002F7EF5"/>
    <w:rsid w:val="00300DF5"/>
    <w:rsid w:val="00303133"/>
    <w:rsid w:val="00305BAF"/>
    <w:rsid w:val="0032657F"/>
    <w:rsid w:val="00336AFB"/>
    <w:rsid w:val="00337176"/>
    <w:rsid w:val="0034409D"/>
    <w:rsid w:val="00344F3C"/>
    <w:rsid w:val="00347E8A"/>
    <w:rsid w:val="003545F5"/>
    <w:rsid w:val="00355F4B"/>
    <w:rsid w:val="00373C87"/>
    <w:rsid w:val="00376247"/>
    <w:rsid w:val="00376E5A"/>
    <w:rsid w:val="003921D4"/>
    <w:rsid w:val="00392CF7"/>
    <w:rsid w:val="003930D8"/>
    <w:rsid w:val="003A4741"/>
    <w:rsid w:val="003A6037"/>
    <w:rsid w:val="003B150F"/>
    <w:rsid w:val="003B166D"/>
    <w:rsid w:val="003B1E68"/>
    <w:rsid w:val="003B219B"/>
    <w:rsid w:val="003B4FA4"/>
    <w:rsid w:val="003C2181"/>
    <w:rsid w:val="003C2499"/>
    <w:rsid w:val="003D63EC"/>
    <w:rsid w:val="003E3094"/>
    <w:rsid w:val="003E3A7D"/>
    <w:rsid w:val="003F26C0"/>
    <w:rsid w:val="00401AAD"/>
    <w:rsid w:val="004079E2"/>
    <w:rsid w:val="00413964"/>
    <w:rsid w:val="004232A9"/>
    <w:rsid w:val="00437342"/>
    <w:rsid w:val="00445FA8"/>
    <w:rsid w:val="004468FF"/>
    <w:rsid w:val="004525A3"/>
    <w:rsid w:val="00454851"/>
    <w:rsid w:val="00455234"/>
    <w:rsid w:val="00456982"/>
    <w:rsid w:val="0046365C"/>
    <w:rsid w:val="00474CEF"/>
    <w:rsid w:val="00481C49"/>
    <w:rsid w:val="00485044"/>
    <w:rsid w:val="00492FBA"/>
    <w:rsid w:val="004A467C"/>
    <w:rsid w:val="004C48DC"/>
    <w:rsid w:val="004D5E0F"/>
    <w:rsid w:val="00504193"/>
    <w:rsid w:val="005054C4"/>
    <w:rsid w:val="00505889"/>
    <w:rsid w:val="00510F63"/>
    <w:rsid w:val="00513A58"/>
    <w:rsid w:val="005152E2"/>
    <w:rsid w:val="005158C6"/>
    <w:rsid w:val="00526412"/>
    <w:rsid w:val="00544A9F"/>
    <w:rsid w:val="00552416"/>
    <w:rsid w:val="00555B62"/>
    <w:rsid w:val="00561053"/>
    <w:rsid w:val="00566A67"/>
    <w:rsid w:val="005673AD"/>
    <w:rsid w:val="005775E6"/>
    <w:rsid w:val="005909AA"/>
    <w:rsid w:val="00596CC9"/>
    <w:rsid w:val="005A7E5C"/>
    <w:rsid w:val="005B2320"/>
    <w:rsid w:val="005C07E6"/>
    <w:rsid w:val="005C3410"/>
    <w:rsid w:val="005D404C"/>
    <w:rsid w:val="005E5E92"/>
    <w:rsid w:val="005E5ED9"/>
    <w:rsid w:val="005E7D28"/>
    <w:rsid w:val="005F11CF"/>
    <w:rsid w:val="005F5FF9"/>
    <w:rsid w:val="006138EE"/>
    <w:rsid w:val="0063705F"/>
    <w:rsid w:val="006403B7"/>
    <w:rsid w:val="00641F3D"/>
    <w:rsid w:val="00643885"/>
    <w:rsid w:val="0065022D"/>
    <w:rsid w:val="00651648"/>
    <w:rsid w:val="00651D3D"/>
    <w:rsid w:val="00653843"/>
    <w:rsid w:val="00655FBA"/>
    <w:rsid w:val="00657E2B"/>
    <w:rsid w:val="0066098A"/>
    <w:rsid w:val="00663533"/>
    <w:rsid w:val="00663996"/>
    <w:rsid w:val="006673E6"/>
    <w:rsid w:val="00667FDF"/>
    <w:rsid w:val="00672C50"/>
    <w:rsid w:val="00672CD7"/>
    <w:rsid w:val="00675B79"/>
    <w:rsid w:val="00692D58"/>
    <w:rsid w:val="006A0862"/>
    <w:rsid w:val="006A691B"/>
    <w:rsid w:val="006B6541"/>
    <w:rsid w:val="006C0115"/>
    <w:rsid w:val="006C46EF"/>
    <w:rsid w:val="006D64CB"/>
    <w:rsid w:val="006E4C9E"/>
    <w:rsid w:val="007006B6"/>
    <w:rsid w:val="007134B7"/>
    <w:rsid w:val="007228C5"/>
    <w:rsid w:val="00730F68"/>
    <w:rsid w:val="00732DA4"/>
    <w:rsid w:val="00742B7A"/>
    <w:rsid w:val="0074424C"/>
    <w:rsid w:val="00747319"/>
    <w:rsid w:val="00747730"/>
    <w:rsid w:val="00750097"/>
    <w:rsid w:val="00752259"/>
    <w:rsid w:val="00756C25"/>
    <w:rsid w:val="00773312"/>
    <w:rsid w:val="0077475F"/>
    <w:rsid w:val="0077666C"/>
    <w:rsid w:val="0077791E"/>
    <w:rsid w:val="00785EEF"/>
    <w:rsid w:val="0078630F"/>
    <w:rsid w:val="00793C27"/>
    <w:rsid w:val="007A516F"/>
    <w:rsid w:val="007A5BF6"/>
    <w:rsid w:val="007A7A34"/>
    <w:rsid w:val="007B0BAE"/>
    <w:rsid w:val="007B0F9F"/>
    <w:rsid w:val="007D01A6"/>
    <w:rsid w:val="007D0B17"/>
    <w:rsid w:val="007D4FD0"/>
    <w:rsid w:val="007E729C"/>
    <w:rsid w:val="007F04DA"/>
    <w:rsid w:val="007F36E6"/>
    <w:rsid w:val="007F59FC"/>
    <w:rsid w:val="007F7921"/>
    <w:rsid w:val="008010FA"/>
    <w:rsid w:val="0080199C"/>
    <w:rsid w:val="00812AF6"/>
    <w:rsid w:val="0082532C"/>
    <w:rsid w:val="00826F72"/>
    <w:rsid w:val="008317C3"/>
    <w:rsid w:val="00832A07"/>
    <w:rsid w:val="00837E4C"/>
    <w:rsid w:val="0084273A"/>
    <w:rsid w:val="00843101"/>
    <w:rsid w:val="008520D3"/>
    <w:rsid w:val="00861A2D"/>
    <w:rsid w:val="00862619"/>
    <w:rsid w:val="00865AAF"/>
    <w:rsid w:val="00881442"/>
    <w:rsid w:val="00896852"/>
    <w:rsid w:val="008977B2"/>
    <w:rsid w:val="008C13BF"/>
    <w:rsid w:val="008C64A4"/>
    <w:rsid w:val="008D36F3"/>
    <w:rsid w:val="008D6CB4"/>
    <w:rsid w:val="008E1588"/>
    <w:rsid w:val="008E323D"/>
    <w:rsid w:val="0090119F"/>
    <w:rsid w:val="00902B53"/>
    <w:rsid w:val="00903F7E"/>
    <w:rsid w:val="00905410"/>
    <w:rsid w:val="009139A5"/>
    <w:rsid w:val="00914371"/>
    <w:rsid w:val="00921CD8"/>
    <w:rsid w:val="009264AB"/>
    <w:rsid w:val="00926E33"/>
    <w:rsid w:val="009273AA"/>
    <w:rsid w:val="00931ACC"/>
    <w:rsid w:val="00932110"/>
    <w:rsid w:val="00936AE9"/>
    <w:rsid w:val="00937E8C"/>
    <w:rsid w:val="00942228"/>
    <w:rsid w:val="00946DAA"/>
    <w:rsid w:val="009576DB"/>
    <w:rsid w:val="00982B54"/>
    <w:rsid w:val="0099436D"/>
    <w:rsid w:val="009B0CDE"/>
    <w:rsid w:val="009B0FFF"/>
    <w:rsid w:val="009C3E63"/>
    <w:rsid w:val="009C5878"/>
    <w:rsid w:val="009C7E46"/>
    <w:rsid w:val="009D31E9"/>
    <w:rsid w:val="009D4A13"/>
    <w:rsid w:val="009E0B70"/>
    <w:rsid w:val="00A034D1"/>
    <w:rsid w:val="00A05C31"/>
    <w:rsid w:val="00A12C90"/>
    <w:rsid w:val="00A17FA4"/>
    <w:rsid w:val="00A23BBA"/>
    <w:rsid w:val="00A31318"/>
    <w:rsid w:val="00A568E8"/>
    <w:rsid w:val="00A601DA"/>
    <w:rsid w:val="00A62DAA"/>
    <w:rsid w:val="00A66088"/>
    <w:rsid w:val="00A74474"/>
    <w:rsid w:val="00A76BEE"/>
    <w:rsid w:val="00A842D5"/>
    <w:rsid w:val="00A85FB2"/>
    <w:rsid w:val="00A87254"/>
    <w:rsid w:val="00A955A6"/>
    <w:rsid w:val="00A955C2"/>
    <w:rsid w:val="00AA4012"/>
    <w:rsid w:val="00AD49AE"/>
    <w:rsid w:val="00AE4D61"/>
    <w:rsid w:val="00AE4E26"/>
    <w:rsid w:val="00AF6DE4"/>
    <w:rsid w:val="00B113EC"/>
    <w:rsid w:val="00B23C9E"/>
    <w:rsid w:val="00B24D5E"/>
    <w:rsid w:val="00B25722"/>
    <w:rsid w:val="00B2763C"/>
    <w:rsid w:val="00B27A37"/>
    <w:rsid w:val="00B374D3"/>
    <w:rsid w:val="00B40B65"/>
    <w:rsid w:val="00B4381B"/>
    <w:rsid w:val="00B43E04"/>
    <w:rsid w:val="00B47AB7"/>
    <w:rsid w:val="00B513C5"/>
    <w:rsid w:val="00B530B7"/>
    <w:rsid w:val="00B55683"/>
    <w:rsid w:val="00B66C53"/>
    <w:rsid w:val="00B71713"/>
    <w:rsid w:val="00B72F99"/>
    <w:rsid w:val="00B74661"/>
    <w:rsid w:val="00B75397"/>
    <w:rsid w:val="00B76961"/>
    <w:rsid w:val="00B806A4"/>
    <w:rsid w:val="00B81321"/>
    <w:rsid w:val="00B842D0"/>
    <w:rsid w:val="00B84A3F"/>
    <w:rsid w:val="00B8721F"/>
    <w:rsid w:val="00B922CC"/>
    <w:rsid w:val="00B93D90"/>
    <w:rsid w:val="00B95986"/>
    <w:rsid w:val="00BA00BE"/>
    <w:rsid w:val="00BA604C"/>
    <w:rsid w:val="00BB2077"/>
    <w:rsid w:val="00BE5DA6"/>
    <w:rsid w:val="00C00D69"/>
    <w:rsid w:val="00C04F72"/>
    <w:rsid w:val="00C14195"/>
    <w:rsid w:val="00C216AD"/>
    <w:rsid w:val="00C24F55"/>
    <w:rsid w:val="00C24FE1"/>
    <w:rsid w:val="00C3013D"/>
    <w:rsid w:val="00C363F7"/>
    <w:rsid w:val="00C43866"/>
    <w:rsid w:val="00C52ECD"/>
    <w:rsid w:val="00C537D6"/>
    <w:rsid w:val="00C55F70"/>
    <w:rsid w:val="00C565E9"/>
    <w:rsid w:val="00C630AA"/>
    <w:rsid w:val="00C64054"/>
    <w:rsid w:val="00C7217E"/>
    <w:rsid w:val="00C83211"/>
    <w:rsid w:val="00C842BD"/>
    <w:rsid w:val="00C87E1B"/>
    <w:rsid w:val="00C943BB"/>
    <w:rsid w:val="00C94A15"/>
    <w:rsid w:val="00C97077"/>
    <w:rsid w:val="00C97B12"/>
    <w:rsid w:val="00CA0F0E"/>
    <w:rsid w:val="00CB2C10"/>
    <w:rsid w:val="00CB2EBD"/>
    <w:rsid w:val="00CC5071"/>
    <w:rsid w:val="00CC79CE"/>
    <w:rsid w:val="00CD0107"/>
    <w:rsid w:val="00CD148C"/>
    <w:rsid w:val="00CD5272"/>
    <w:rsid w:val="00CD5EE8"/>
    <w:rsid w:val="00CD75FE"/>
    <w:rsid w:val="00CE0CC0"/>
    <w:rsid w:val="00CE36D2"/>
    <w:rsid w:val="00D019AB"/>
    <w:rsid w:val="00D01B73"/>
    <w:rsid w:val="00D05576"/>
    <w:rsid w:val="00D23210"/>
    <w:rsid w:val="00D23BD6"/>
    <w:rsid w:val="00D3043B"/>
    <w:rsid w:val="00D33EFE"/>
    <w:rsid w:val="00D37CD8"/>
    <w:rsid w:val="00D512DF"/>
    <w:rsid w:val="00D63454"/>
    <w:rsid w:val="00D66B9A"/>
    <w:rsid w:val="00D81F73"/>
    <w:rsid w:val="00D90D1E"/>
    <w:rsid w:val="00DA5847"/>
    <w:rsid w:val="00DB0DC4"/>
    <w:rsid w:val="00DC19DE"/>
    <w:rsid w:val="00DD6C20"/>
    <w:rsid w:val="00DE75CC"/>
    <w:rsid w:val="00DF6DC5"/>
    <w:rsid w:val="00E04FB9"/>
    <w:rsid w:val="00E0697E"/>
    <w:rsid w:val="00E128FC"/>
    <w:rsid w:val="00E22D1C"/>
    <w:rsid w:val="00E25EF3"/>
    <w:rsid w:val="00E30A86"/>
    <w:rsid w:val="00E453D5"/>
    <w:rsid w:val="00E50C94"/>
    <w:rsid w:val="00E5235C"/>
    <w:rsid w:val="00E6148B"/>
    <w:rsid w:val="00E61C48"/>
    <w:rsid w:val="00E64BF2"/>
    <w:rsid w:val="00E67C8F"/>
    <w:rsid w:val="00E72776"/>
    <w:rsid w:val="00E75BEE"/>
    <w:rsid w:val="00E920C9"/>
    <w:rsid w:val="00EA20F3"/>
    <w:rsid w:val="00EA3C6F"/>
    <w:rsid w:val="00EA5BE2"/>
    <w:rsid w:val="00EB054A"/>
    <w:rsid w:val="00EB6599"/>
    <w:rsid w:val="00EC3549"/>
    <w:rsid w:val="00ED1E1E"/>
    <w:rsid w:val="00EE2CD5"/>
    <w:rsid w:val="00EF05CD"/>
    <w:rsid w:val="00EF3219"/>
    <w:rsid w:val="00F00F9D"/>
    <w:rsid w:val="00F03008"/>
    <w:rsid w:val="00F1617A"/>
    <w:rsid w:val="00F21BCE"/>
    <w:rsid w:val="00F2510B"/>
    <w:rsid w:val="00F25938"/>
    <w:rsid w:val="00F3518E"/>
    <w:rsid w:val="00F37C31"/>
    <w:rsid w:val="00F43C82"/>
    <w:rsid w:val="00F512FF"/>
    <w:rsid w:val="00F53E91"/>
    <w:rsid w:val="00F5559B"/>
    <w:rsid w:val="00F57151"/>
    <w:rsid w:val="00F628EE"/>
    <w:rsid w:val="00F62E76"/>
    <w:rsid w:val="00F6526E"/>
    <w:rsid w:val="00F66E85"/>
    <w:rsid w:val="00F67D68"/>
    <w:rsid w:val="00F67F5E"/>
    <w:rsid w:val="00F709E2"/>
    <w:rsid w:val="00F93CBA"/>
    <w:rsid w:val="00FC0BDC"/>
    <w:rsid w:val="00FC6704"/>
    <w:rsid w:val="00FD26E1"/>
    <w:rsid w:val="00FD2B23"/>
    <w:rsid w:val="00FD4B7D"/>
    <w:rsid w:val="00FD7015"/>
    <w:rsid w:val="00FF02FF"/>
    <w:rsid w:val="00FF5544"/>
    <w:rsid w:val="00FF69F0"/>
    <w:rsid w:val="00FF6C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09D2E"/>
  <w15:docId w15:val="{7B214DE2-030B-4304-894A-F08CC8D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4741"/>
    <w:pPr>
      <w:jc w:val="both"/>
    </w:pPr>
    <w:rPr>
      <w:rFonts w:ascii="Tahoma" w:hAnsi="Tahoma" w:cs="Tahoma"/>
      <w:sz w:val="22"/>
      <w:szCs w:val="22"/>
      <w:lang w:val="es-ES" w:eastAsia="es-ES"/>
    </w:rPr>
  </w:style>
  <w:style w:type="paragraph" w:styleId="Ttulo1">
    <w:name w:val="heading 1"/>
    <w:basedOn w:val="Normal"/>
    <w:next w:val="Normal"/>
    <w:qFormat/>
    <w:rsid w:val="000706C7"/>
    <w:pPr>
      <w:keepNext/>
      <w:numPr>
        <w:numId w:val="3"/>
      </w:numPr>
      <w:outlineLvl w:val="0"/>
    </w:pPr>
    <w:rPr>
      <w:b/>
      <w:color w:val="808080"/>
    </w:rPr>
  </w:style>
  <w:style w:type="paragraph" w:styleId="Ttulo2">
    <w:name w:val="heading 2"/>
    <w:basedOn w:val="Normal"/>
    <w:next w:val="Normal"/>
    <w:qFormat/>
    <w:pPr>
      <w:keepNext/>
      <w:numPr>
        <w:numId w:val="2"/>
      </w:numPr>
      <w:outlineLvl w:val="1"/>
    </w:pPr>
    <w:rPr>
      <w:b/>
      <w:color w:val="808080"/>
    </w:rPr>
  </w:style>
  <w:style w:type="paragraph" w:styleId="Ttulo3">
    <w:name w:val="heading 3"/>
    <w:basedOn w:val="Normal"/>
    <w:next w:val="Normal"/>
    <w:qFormat/>
    <w:pPr>
      <w:keepNext/>
      <w:outlineLvl w:val="2"/>
    </w:pPr>
    <w:rPr>
      <w:color w:val="808080"/>
    </w:rPr>
  </w:style>
  <w:style w:type="paragraph" w:styleId="Ttulo4">
    <w:name w:val="heading 4"/>
    <w:basedOn w:val="Normal"/>
    <w:next w:val="Normal"/>
    <w:qFormat/>
    <w:pPr>
      <w:keepNext/>
      <w:jc w:val="center"/>
      <w:outlineLvl w:val="3"/>
    </w:pPr>
    <w:rPr>
      <w:b/>
      <w:snapToGrid w:val="0"/>
      <w:color w:val="000000"/>
    </w:rPr>
  </w:style>
  <w:style w:type="paragraph" w:styleId="Ttulo5">
    <w:name w:val="heading 5"/>
    <w:basedOn w:val="Normal"/>
    <w:next w:val="Normal"/>
    <w:qFormat/>
    <w:rsid w:val="00C94A15"/>
    <w:pPr>
      <w:keepNext/>
      <w:jc w:val="center"/>
      <w:outlineLvl w:val="4"/>
    </w:pPr>
    <w:rPr>
      <w:color w:val="808080"/>
      <w:sz w:val="28"/>
      <w:szCs w:val="28"/>
    </w:rPr>
  </w:style>
  <w:style w:type="paragraph" w:styleId="Ttulo6">
    <w:name w:val="heading 6"/>
    <w:basedOn w:val="Normal"/>
    <w:next w:val="Normal"/>
    <w:qFormat/>
    <w:pPr>
      <w:keepNext/>
      <w:outlineLvl w:val="5"/>
    </w:pPr>
    <w:rPr>
      <w:b/>
      <w:color w:val="808080"/>
      <w:sz w:val="36"/>
    </w:rPr>
  </w:style>
  <w:style w:type="paragraph" w:styleId="Ttulo7">
    <w:name w:val="heading 7"/>
    <w:basedOn w:val="Normal"/>
    <w:next w:val="Normal"/>
    <w:qFormat/>
    <w:pPr>
      <w:keepNext/>
      <w:jc w:val="center"/>
      <w:outlineLvl w:val="6"/>
    </w:pPr>
    <w:rPr>
      <w:color w:val="8080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k1">
    <w:name w:val="k1"/>
    <w:basedOn w:val="Normal"/>
    <w:pPr>
      <w:numPr>
        <w:numId w:val="1"/>
      </w:numPr>
    </w:pPr>
    <w:rPr>
      <w:b/>
    </w:rPr>
  </w:style>
  <w:style w:type="paragraph" w:styleId="Textoindependiente">
    <w:name w:val="Body Text"/>
    <w:basedOn w:val="Normal"/>
    <w:semiHidden/>
    <w:rPr>
      <w:color w:val="000000"/>
    </w:rPr>
  </w:style>
  <w:style w:type="character" w:styleId="Textoennegrita">
    <w:name w:val="Strong"/>
    <w:qFormat/>
    <w:rPr>
      <w:b/>
    </w:rPr>
  </w:style>
  <w:style w:type="paragraph" w:styleId="Textoindependiente2">
    <w:name w:val="Body Text 2"/>
    <w:basedOn w:val="Normal"/>
    <w:semiHidden/>
  </w:style>
  <w:style w:type="paragraph" w:customStyle="1" w:styleId="Textoindependiente31">
    <w:name w:val="Texto independiente 31"/>
    <w:basedOn w:val="Normal"/>
    <w:pPr>
      <w:tabs>
        <w:tab w:val="left" w:pos="170"/>
      </w:tabs>
      <w:overflowPunct w:val="0"/>
      <w:autoSpaceDE w:val="0"/>
      <w:autoSpaceDN w:val="0"/>
      <w:adjustRightInd w:val="0"/>
      <w:spacing w:before="120"/>
      <w:textAlignment w:val="baseline"/>
    </w:pPr>
    <w:rPr>
      <w:rFonts w:ascii="Arial" w:hAnsi="Arial"/>
      <w:spacing w:val="-24"/>
    </w:rPr>
  </w:style>
  <w:style w:type="paragraph" w:styleId="Sangradetextonormal">
    <w:name w:val="Body Text Indent"/>
    <w:basedOn w:val="Normal"/>
    <w:semiHidden/>
    <w:pPr>
      <w:tabs>
        <w:tab w:val="left" w:pos="720"/>
        <w:tab w:val="left" w:pos="900"/>
      </w:tabs>
      <w:ind w:firstLine="360"/>
    </w:pPr>
    <w:rPr>
      <w:b/>
    </w:rPr>
  </w:style>
  <w:style w:type="character" w:styleId="Refdenotaalpie">
    <w:name w:val="footnote reference"/>
    <w:semiHidden/>
    <w:rPr>
      <w:vertAlign w:val="superscript"/>
    </w:rPr>
  </w:style>
  <w:style w:type="paragraph" w:styleId="Textonotapie">
    <w:name w:val="footnote text"/>
    <w:basedOn w:val="Normal"/>
    <w:semiHidden/>
    <w:rPr>
      <w:sz w:val="18"/>
    </w:rPr>
  </w:style>
  <w:style w:type="paragraph" w:styleId="Textoindependiente3">
    <w:name w:val="Body Text 3"/>
    <w:basedOn w:val="Normal"/>
    <w:semiHidden/>
    <w:pPr>
      <w:jc w:val="center"/>
    </w:pPr>
    <w:rPr>
      <w:rFonts w:ascii="Verdana" w:hAnsi="Verdana"/>
      <w:b/>
      <w:color w:val="808080"/>
      <w:sz w:val="36"/>
    </w:rPr>
  </w:style>
  <w:style w:type="paragraph" w:styleId="TDC1">
    <w:name w:val="toc 1"/>
    <w:basedOn w:val="Normal"/>
    <w:next w:val="Normal"/>
    <w:autoRedefine/>
    <w:semiHidden/>
    <w:pPr>
      <w:spacing w:before="360" w:after="360"/>
    </w:pPr>
    <w:rPr>
      <w:b/>
      <w:caps/>
      <w:u w:val="single"/>
    </w:rPr>
  </w:style>
  <w:style w:type="paragraph" w:styleId="TDC2">
    <w:name w:val="toc 2"/>
    <w:basedOn w:val="Normal"/>
    <w:next w:val="Normal"/>
    <w:autoRedefine/>
    <w:semiHidden/>
    <w:rPr>
      <w:b/>
      <w:smallCaps/>
    </w:rPr>
  </w:style>
  <w:style w:type="paragraph" w:styleId="TDC3">
    <w:name w:val="toc 3"/>
    <w:basedOn w:val="Normal"/>
    <w:next w:val="Normal"/>
    <w:autoRedefine/>
    <w:semiHidden/>
    <w:rPr>
      <w:smallCaps/>
    </w:rPr>
  </w:style>
  <w:style w:type="paragraph" w:styleId="TDC4">
    <w:name w:val="toc 4"/>
    <w:basedOn w:val="Normal"/>
    <w:next w:val="Normal"/>
    <w:autoRedefine/>
    <w:semiHidden/>
  </w:style>
  <w:style w:type="paragraph" w:styleId="TDC5">
    <w:name w:val="toc 5"/>
    <w:basedOn w:val="Normal"/>
    <w:next w:val="Normal"/>
    <w:autoRedefine/>
    <w:semiHidden/>
  </w:style>
  <w:style w:type="paragraph" w:styleId="TDC6">
    <w:name w:val="toc 6"/>
    <w:basedOn w:val="Normal"/>
    <w:next w:val="Normal"/>
    <w:autoRedefine/>
    <w:semiHidden/>
  </w:style>
  <w:style w:type="paragraph" w:styleId="TDC7">
    <w:name w:val="toc 7"/>
    <w:basedOn w:val="Normal"/>
    <w:next w:val="Normal"/>
    <w:autoRedefine/>
    <w:semiHidden/>
  </w:style>
  <w:style w:type="paragraph" w:styleId="TDC8">
    <w:name w:val="toc 8"/>
    <w:basedOn w:val="Normal"/>
    <w:next w:val="Normal"/>
    <w:autoRedefine/>
    <w:semiHidden/>
  </w:style>
  <w:style w:type="paragraph" w:styleId="TDC9">
    <w:name w:val="toc 9"/>
    <w:basedOn w:val="Normal"/>
    <w:next w:val="Normal"/>
    <w:autoRedefine/>
    <w:semiHidden/>
  </w:style>
  <w:style w:type="paragraph" w:styleId="Prrafodelista">
    <w:name w:val="List Paragraph"/>
    <w:basedOn w:val="Normal"/>
    <w:uiPriority w:val="34"/>
    <w:qFormat/>
    <w:rsid w:val="00A034D1"/>
    <w:pPr>
      <w:ind w:left="708"/>
    </w:pPr>
  </w:style>
  <w:style w:type="paragraph" w:styleId="Textodeglobo">
    <w:name w:val="Balloon Text"/>
    <w:basedOn w:val="Normal"/>
    <w:link w:val="TextodegloboCar"/>
    <w:uiPriority w:val="99"/>
    <w:semiHidden/>
    <w:unhideWhenUsed/>
    <w:rsid w:val="00214C8D"/>
    <w:rPr>
      <w:sz w:val="16"/>
      <w:szCs w:val="16"/>
    </w:rPr>
  </w:style>
  <w:style w:type="character" w:customStyle="1" w:styleId="TextodegloboCar">
    <w:name w:val="Texto de globo Car"/>
    <w:link w:val="Textodeglobo"/>
    <w:uiPriority w:val="99"/>
    <w:semiHidden/>
    <w:rsid w:val="00214C8D"/>
    <w:rPr>
      <w:rFonts w:ascii="Tahoma" w:hAnsi="Tahoma" w:cs="Tahoma"/>
      <w:sz w:val="16"/>
      <w:szCs w:val="16"/>
    </w:rPr>
  </w:style>
  <w:style w:type="paragraph" w:styleId="Textonotaalfinal">
    <w:name w:val="endnote text"/>
    <w:basedOn w:val="Normal"/>
    <w:link w:val="TextonotaalfinalCar"/>
    <w:uiPriority w:val="99"/>
    <w:semiHidden/>
    <w:unhideWhenUsed/>
    <w:rsid w:val="00C87E1B"/>
    <w:rPr>
      <w:sz w:val="20"/>
      <w:szCs w:val="20"/>
    </w:rPr>
  </w:style>
  <w:style w:type="character" w:customStyle="1" w:styleId="TextonotaalfinalCar">
    <w:name w:val="Texto nota al final Car"/>
    <w:basedOn w:val="Fuentedeprrafopredeter"/>
    <w:link w:val="Textonotaalfinal"/>
    <w:uiPriority w:val="99"/>
    <w:semiHidden/>
    <w:rsid w:val="00C87E1B"/>
  </w:style>
  <w:style w:type="character" w:styleId="Refdenotaalfinal">
    <w:name w:val="endnote reference"/>
    <w:uiPriority w:val="99"/>
    <w:semiHidden/>
    <w:unhideWhenUsed/>
    <w:rsid w:val="00C87E1B"/>
    <w:rPr>
      <w:vertAlign w:val="superscript"/>
    </w:rPr>
  </w:style>
  <w:style w:type="paragraph" w:styleId="NormalWeb">
    <w:name w:val="Normal (Web)"/>
    <w:basedOn w:val="Normal"/>
    <w:uiPriority w:val="99"/>
    <w:semiHidden/>
    <w:unhideWhenUsed/>
    <w:rsid w:val="005E7D28"/>
    <w:pPr>
      <w:spacing w:before="100" w:beforeAutospacing="1" w:after="100" w:afterAutospacing="1"/>
    </w:pPr>
    <w:rPr>
      <w:rFonts w:eastAsiaTheme="minorEastAsia"/>
      <w:lang w:val="es-CL" w:eastAsia="es-CL"/>
    </w:rPr>
  </w:style>
  <w:style w:type="character" w:customStyle="1" w:styleId="PiedepginaCar">
    <w:name w:val="Pie de página Car"/>
    <w:basedOn w:val="Fuentedeprrafopredeter"/>
    <w:link w:val="Piedepgina"/>
    <w:uiPriority w:val="99"/>
    <w:rsid w:val="00B842D0"/>
    <w:rPr>
      <w:rFonts w:ascii="Tahoma" w:hAnsi="Tahoma" w:cs="Tahoma"/>
      <w:sz w:val="22"/>
      <w:szCs w:val="22"/>
      <w:lang w:val="es-ES" w:eastAsia="es-ES"/>
    </w:rPr>
  </w:style>
  <w:style w:type="character" w:customStyle="1" w:styleId="EncabezadoCar">
    <w:name w:val="Encabezado Car"/>
    <w:basedOn w:val="Fuentedeprrafopredeter"/>
    <w:link w:val="Encabezado"/>
    <w:uiPriority w:val="99"/>
    <w:rsid w:val="00B842D0"/>
    <w:rPr>
      <w:rFonts w:ascii="Tahoma" w:hAnsi="Tahoma" w:cs="Tahoma"/>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3131-353E-493D-8772-02AC0D6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Altura</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Bernardo Luque Lòpez</cp:lastModifiedBy>
  <cp:revision>9</cp:revision>
  <cp:lastPrinted>2016-04-25T16:22:00Z</cp:lastPrinted>
  <dcterms:created xsi:type="dcterms:W3CDTF">2017-02-28T12:02:00Z</dcterms:created>
  <dcterms:modified xsi:type="dcterms:W3CDTF">2017-03-01T21:26:00Z</dcterms:modified>
</cp:coreProperties>
</file>